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DF" w:rsidRPr="005E10DF" w:rsidRDefault="005E10DF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t>La tesi di laurea, da me redatta e discussa in data 7 ottobre 2019 presso la Facoltà di Giurisprudenza dell’Università di Bologna,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si propone di analizzare le politiche di residenza, ossia quei meccanismi politico-amministrativi che utilizzano l’istituto della residenza anagrafica non come strumento di controllo della popolazione presente sul territorio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>,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ma come mero mezzo di propaganda politica, di uniformazione alle altre amministrazioni locali ovvero di selezione della popolazione. </w:t>
      </w:r>
    </w:p>
    <w:p w:rsidR="005E10DF" w:rsidRPr="005E10DF" w:rsidRDefault="005E10DF" w:rsidP="005E10D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La logica a cui 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l’iscrizione anagrafica, in queste fattispecie,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risponde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,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non è quella del controllo inteso come monitoraggio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- 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che si ottiene quando è garantita la corrispondenza tra presenti di fatto e residenti di diritto nel rispetto della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sua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finalita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principale 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ex </w:t>
      </w:r>
      <w:proofErr w:type="spellStart"/>
      <w:r>
        <w:rPr>
          <w:rFonts w:ascii="CIDFont+F2" w:eastAsia="Times New Roman" w:hAnsi="CIDFont+F2" w:cs="Times New Roman"/>
          <w:sz w:val="22"/>
          <w:szCs w:val="22"/>
          <w:lang w:eastAsia="it-IT"/>
        </w:rPr>
        <w:t>lege</w:t>
      </w:r>
      <w:proofErr w:type="spellEnd"/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-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, ma quella del controllo inteso come selezione che, al contrario,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puo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essere conseguito soltanto se si impedisce 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la suddetta </w:t>
      </w:r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corrispondenza. La logica della selezione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puo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avere un duplice obiettivo: il primo è ottenere la separazione sostanziale tra presenti indesiderati (oggetto delle suddette politiche) e residenti legittimi, spingendo gli esclusi ad allontanarsi dal territorio comunale; in secondo luogo, conseguire una redistribuzione asimmetrica dei diritti legati alla residenza, in modo da contenere i costi della spesa sociale, consolidare i rapporti con la base elettorale costituita dai cittadini locali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gia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residenti e, infine, porre in una condizione di svantaggio giuridico e materiale gli esclusi che non vogliono o che non possono allontanarsi dal territorio in cui non sono riconosciuti formalmente. In particolare, negli ultimi anni, tali politiche sono state rivolte principalmente all’esclusione dei soggetti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piu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deboli della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societa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̀, gli immigrati ed i senza fissa dimora, contro i quali sono stati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piu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volte trovati espedienti (ad esempio in tema di sicurezza della 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comunita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̀), identificandoli come fonte di “</w:t>
      </w:r>
      <w:proofErr w:type="spellStart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>pericolosita</w:t>
      </w:r>
      <w:proofErr w:type="spellEnd"/>
      <w:r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̀ sociale” e rendendoli, per questo, oggetto di provvedimenti e prassi amministrative del tutto discriminatorie, che non hanno fatto nient’altro che dare vita a “nuove cittadinanze” statali, regionali e locali. </w:t>
      </w:r>
    </w:p>
    <w:p w:rsidR="00B33546" w:rsidRDefault="005E10DF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Per questo motivo la mia trattazione si è concentrata soprattutto su queste due categorie di soggetti, spinto anche dal forte interesse che l’attività di volontariato, che mi vede 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da più anni 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impegnato con l’associazione Avvocato di Strada, ha suscitato in me avendo più volte trattato e studiato </w:t>
      </w:r>
      <w:r w:rsidR="001C2FC3">
        <w:rPr>
          <w:rFonts w:ascii="CIDFont+F2" w:eastAsia="Times New Roman" w:hAnsi="CIDFont+F2" w:cs="Times New Roman"/>
          <w:sz w:val="22"/>
          <w:szCs w:val="22"/>
          <w:lang w:eastAsia="it-IT"/>
        </w:rPr>
        <w:t>come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un uso politicizzato dell’istituto della residenza possa escludere i summenzionati soggetti dai sistemi di</w:t>
      </w:r>
      <w:r w:rsidR="00F43BB9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r w:rsid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welfare offerti sul territorio. </w:t>
      </w:r>
    </w:p>
    <w:p w:rsidR="00B33546" w:rsidRDefault="00B33546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t>La tesi si compone di tre capitoli.</w:t>
      </w:r>
    </w:p>
    <w:p w:rsidR="001F73F5" w:rsidRDefault="00B33546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 w:rsidRP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Il </w:t>
      </w:r>
      <w:r w:rsidR="005E10DF" w:rsidRPr="00B3354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primo capitolo </w:t>
      </w:r>
      <w:r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affronta 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il tema della cittadinanza, uno </w:t>
      </w:r>
      <w:r w:rsidR="005E10DF" w:rsidRPr="00523C34">
        <w:rPr>
          <w:rFonts w:ascii="CIDFont+F4" w:eastAsia="Times New Roman" w:hAnsi="CIDFont+F4" w:cs="Times New Roman"/>
          <w:sz w:val="22"/>
          <w:szCs w:val="22"/>
          <w:lang w:eastAsia="it-IT"/>
        </w:rPr>
        <w:t xml:space="preserve">status </w:t>
      </w:r>
      <w:r w:rsidR="00523C34" w:rsidRPr="00523C34">
        <w:rPr>
          <w:rFonts w:ascii="CIDFont+F4" w:eastAsia="Times New Roman" w:hAnsi="CIDFont+F4" w:cs="Times New Roman"/>
          <w:sz w:val="22"/>
          <w:szCs w:val="22"/>
          <w:lang w:eastAsia="it-IT"/>
        </w:rPr>
        <w:t xml:space="preserve">che identifica i soggetti come 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membri a pieno diritto di una comunit</w:t>
      </w:r>
      <w:r w:rsidR="001C2FC3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à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, nei confronti della quale risultano tutti 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uguali rispetto ai diritti e ai doveri conferiti; uno </w:t>
      </w:r>
      <w:r w:rsidR="005E10DF" w:rsidRPr="00523C34">
        <w:rPr>
          <w:rFonts w:ascii="CIDFont+F4" w:eastAsia="Times New Roman" w:hAnsi="CIDFont+F4" w:cs="Times New Roman"/>
          <w:sz w:val="22"/>
          <w:szCs w:val="22"/>
          <w:lang w:eastAsia="it-IT"/>
        </w:rPr>
        <w:t xml:space="preserve">status 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sulla base del quale si delinea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no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le prime forme di appartenenza che tendono a differenziare i soggetti.</w:t>
      </w:r>
      <w:r w:rsid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Queste sono, 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in sintesi, due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: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una formale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, riguardante l’ambito nazionale,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ed una sostanziale, riguardan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te</w:t>
      </w:r>
      <w:r w:rsidR="005E10DF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l’ambito europeo.</w:t>
      </w:r>
      <w:r w:rsid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Gli Stati scelgono discrezionalmente </w:t>
      </w:r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le </w:t>
      </w:r>
      <w:proofErr w:type="spellStart"/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modalita</w:t>
      </w:r>
      <w:proofErr w:type="spellEnd"/>
      <w:r w:rsidR="00523C34" w:rsidRPr="00523C34">
        <w:rPr>
          <w:rFonts w:ascii="CIDFont+F2" w:eastAsia="Times New Roman" w:hAnsi="CIDFont+F2" w:cs="Times New Roman"/>
          <w:sz w:val="22"/>
          <w:szCs w:val="22"/>
          <w:lang w:eastAsia="it-IT"/>
        </w:rPr>
        <w:t>̀ di acquisto della cittadinanza</w:t>
      </w:r>
      <w:r w:rsidR="00523C34">
        <w:rPr>
          <w:rFonts w:ascii="CIDFont+F2" w:eastAsia="Times New Roman" w:hAnsi="CIDFont+F2" w:cs="Times New Roman"/>
          <w:sz w:val="22"/>
          <w:szCs w:val="22"/>
          <w:lang w:eastAsia="it-IT"/>
        </w:rPr>
        <w:t>, ma – come nel caso italiano –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r w:rsidR="00F43BB9">
        <w:rPr>
          <w:rFonts w:ascii="CIDFont+F2" w:eastAsia="Times New Roman" w:hAnsi="CIDFont+F2" w:cs="Times New Roman"/>
          <w:sz w:val="22"/>
          <w:szCs w:val="22"/>
          <w:lang w:eastAsia="it-IT"/>
        </w:rPr>
        <w:t>spesso viene dato rilievo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r w:rsidR="005E10DF"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al requisito del soggiorno prolungato sul territorio nazionale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>, indice di uno stabile legame con la comunità</w:t>
      </w:r>
      <w:r w:rsidR="00F43BB9">
        <w:rPr>
          <w:rFonts w:ascii="CIDFont+F2" w:eastAsia="Times New Roman" w:hAnsi="CIDFont+F2" w:cs="Times New Roman"/>
          <w:sz w:val="22"/>
          <w:szCs w:val="22"/>
          <w:lang w:eastAsia="it-IT"/>
        </w:rPr>
        <w:t>, per l’acquisto o il mantenimento della cittadinanza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. </w:t>
      </w:r>
    </w:p>
    <w:p w:rsidR="001F73F5" w:rsidRDefault="005E10DF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In ambito europeo, invece,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la protagonista è la cittadinanza europea, concessa automaticamente a chi ha la 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>cittadinanza di uno stato membro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. Questa </w:t>
      </w:r>
      <w:r w:rsidR="001F73F5"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permette ai soli cittadini dell’Unione di muoversi e soggiornare liberamente all’interno del territorio comunitario, prevedendo invece per gli extracomunitari controlli e stringenti norme sul tema.</w:t>
      </w:r>
      <w:r w:rsid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Ed è in questo senso che si parla di limiti derivanti dalla (mancata, in questo caso) appartenenza. </w:t>
      </w:r>
    </w:p>
    <w:p w:rsidR="001F73F5" w:rsidRDefault="001F73F5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Il secondo capitolo contiene un’analisi normativa della 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dell’iscrizione anagrafica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: 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in prima battuta l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’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ttenzione si sofferma sulla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normativa generale dettata dalla Legge n. 1228 del 24 Dicembre 1954 e dal Regolamento attuativo introdotto dal D.P.R. n. 223 del 30 Maggio 1989 </w:t>
      </w:r>
      <w:proofErr w:type="gramStart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ed</w:t>
      </w:r>
      <w:proofErr w:type="gramEnd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, in seconda battuta, 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sul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la disciplina specifica dell’iscrizione anagrafica degli immigrati e dei senza fissa dimora.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Oggetto della disamina sono anche le 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varie riforme susseguite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si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nel corso degli ultimi anni in materia di residenza, fino ad arrivare alla </w:t>
      </w:r>
      <w:proofErr w:type="spellStart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piu</w:t>
      </w:r>
      <w:proofErr w:type="spellEnd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̀ recente L. 132/2018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,</w:t>
      </w:r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che ha privato i richiedenti asilo della </w:t>
      </w:r>
      <w:proofErr w:type="spellStart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possibilita</w:t>
      </w:r>
      <w:proofErr w:type="spellEnd"/>
      <w:r w:rsidRPr="001F73F5">
        <w:rPr>
          <w:rFonts w:ascii="CIDFont+F2" w:eastAsia="Times New Roman" w:hAnsi="CIDFont+F2" w:cs="Times New Roman"/>
          <w:sz w:val="22"/>
          <w:szCs w:val="22"/>
          <w:lang w:eastAsia="it-IT"/>
        </w:rPr>
        <w:t>̀ di registrarsi presso l’Anagrafe della popolazione residente.</w:t>
      </w:r>
    </w:p>
    <w:p w:rsidR="001F73F5" w:rsidRDefault="00CE1096" w:rsidP="005E10DF">
      <w:pPr>
        <w:spacing w:before="100" w:beforeAutospacing="1" w:after="100" w:afterAutospacing="1"/>
        <w:rPr>
          <w:rFonts w:ascii="CIDFont+F2" w:eastAsia="Times New Roman" w:hAnsi="CIDFont+F2" w:cs="Times New Roman"/>
          <w:sz w:val="22"/>
          <w:szCs w:val="22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lastRenderedPageBreak/>
        <w:t>Il terzo capitolo si caratterizza per un taglio comparatistico: questo mi ha visto impegnato in prima persona, avendo dovuto indirizzare quesiti a diverse pubbliche amministrazioni, al fine di individuare le loro prassi e/o consuetudini ed estrarre dunque le principali tendenze.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br/>
        <w:t>I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nizialmente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mi sono concentrato sui casi in cui le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prassi amministra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>tive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richiedono,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in materia di iscrizione anagrafica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, requisiti ulteriori rispetto a quelli specificati dalle norme statali; tra queste possiamo menzionare,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ad esempio, la richiesta ai cittadini stranieri di documenti ulteriori non previsti da nessuna norma, l’assoggettamento della richiesta di iscrizione alle condizioni igienico-sanitarie dell’immobile, la presenza effettiva del senza fissa dimora nel luogo in cui ha eletto il domicilio, ed altro ancora.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br/>
        <w:t xml:space="preserve">Successivamente, costituiscono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oggetto di analisi le </w:t>
      </w:r>
      <w:proofErr w:type="spellStart"/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modalita</w:t>
      </w:r>
      <w:proofErr w:type="spellEnd"/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̀ di accesso a tre diritti fondamentali (il diritto alla salute, il diritto all’abitazione ed il diritto alle prestazioni di assistenza e sicurezza sociale) previste dalle normative regionali e comunali, che fanno dell’</w:t>
      </w:r>
      <w:proofErr w:type="spellStart"/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anzianita</w:t>
      </w:r>
      <w:proofErr w:type="spellEnd"/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̀ di residenza anagrafica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un requisito, con l’effetto di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escludere gli stranieri, i senza fissa dimora ed i “nuovi arrivati”, in generale creando delle vere e proprie cittadinanze regionali</w:t>
      </w:r>
      <w:r w:rsidR="00F43BB9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e limitando l’inclusione sociale degli stessi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.</w:t>
      </w:r>
    </w:p>
    <w:p w:rsidR="005E10DF" w:rsidRPr="005E10DF" w:rsidRDefault="00CE1096" w:rsidP="005E10D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2" w:eastAsia="Times New Roman" w:hAnsi="CIDFont+F2" w:cs="Times New Roman"/>
          <w:sz w:val="22"/>
          <w:szCs w:val="22"/>
          <w:lang w:eastAsia="it-IT"/>
        </w:rPr>
        <w:t>Frutto</w:t>
      </w:r>
      <w:r w:rsidR="00F43BB9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finale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di questa mia ricerca è la disparità evidenziata tra le prassi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delle Regioni del Nord Italia e quelle delle Regioni del Sud</w:t>
      </w:r>
      <w:r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: </w:t>
      </w:r>
      <w:r w:rsidRPr="00CE1096">
        <w:rPr>
          <w:rFonts w:ascii="CIDFont+F2" w:eastAsia="Times New Roman" w:hAnsi="CIDFont+F2" w:cs="Times New Roman"/>
          <w:sz w:val="22"/>
          <w:szCs w:val="22"/>
          <w:lang w:eastAsia="it-IT"/>
        </w:rPr>
        <w:t>nello specifico i casi dell’Emilia-Romagna e della Basilicata</w:t>
      </w:r>
      <w:r w:rsidRPr="00F43BB9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. </w:t>
      </w:r>
      <w:r w:rsidR="005E10DF" w:rsidRPr="00F43BB9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Questo confronto mi ha visto impegnato, nei primi mesi dell’anno 2019, ed in generale nel corso della mia </w:t>
      </w:r>
      <w:proofErr w:type="spellStart"/>
      <w:r w:rsidR="005E10DF" w:rsidRPr="00F43BB9">
        <w:rPr>
          <w:rFonts w:ascii="CIDFont+F2" w:eastAsia="Times New Roman" w:hAnsi="CIDFont+F2" w:cs="Times New Roman"/>
          <w:sz w:val="22"/>
          <w:szCs w:val="22"/>
          <w:lang w:eastAsia="it-IT"/>
        </w:rPr>
        <w:t>attivita</w:t>
      </w:r>
      <w:proofErr w:type="spellEnd"/>
      <w:r w:rsidR="005E10DF" w:rsidRPr="00F43BB9">
        <w:rPr>
          <w:rFonts w:ascii="CIDFont+F2" w:eastAsia="Times New Roman" w:hAnsi="CIDFont+F2" w:cs="Times New Roman"/>
          <w:sz w:val="22"/>
          <w:szCs w:val="22"/>
          <w:lang w:eastAsia="it-IT"/>
        </w:rPr>
        <w:t>̀ di volontario presso l’Associazione Avvocato di Strada (fonte di ispirazione dell’intero scritto), in incontri personali e telefonici con operatori degli Uffici di anagrafe di alcuni Comuni lucani, emiliani e romagnoli</w:t>
      </w:r>
      <w:r w:rsidR="005E10DF" w:rsidRPr="00F43BB9">
        <w:rPr>
          <w:rFonts w:ascii="CIDFont+F2" w:eastAsia="Times New Roman" w:hAnsi="CIDFont+F2" w:cs="Times New Roman"/>
          <w:position w:val="8"/>
          <w:sz w:val="16"/>
          <w:szCs w:val="16"/>
          <w:lang w:eastAsia="it-IT"/>
        </w:rPr>
        <w:t xml:space="preserve"> </w:t>
      </w:r>
      <w:r w:rsidR="005E10DF" w:rsidRPr="00F43BB9">
        <w:rPr>
          <w:rFonts w:ascii="CIDFont+F2" w:eastAsia="Times New Roman" w:hAnsi="CIDFont+F2" w:cs="Times New Roman"/>
          <w:sz w:val="22"/>
          <w:szCs w:val="22"/>
          <w:lang w:eastAsia="it-IT"/>
        </w:rPr>
        <w:t>ed in interviste ad alcuni rappresentanti di associazioni del terzo settore o semplici privati che quotidianamente impegnano il loro tempo nella tutela dei diritti degli immigrati e dei senza fissa dimora e che da sempre si battono contro qualsiasi forma di discriminazione.</w:t>
      </w:r>
      <w:r w:rsidR="005E10DF" w:rsidRPr="005E10DF">
        <w:rPr>
          <w:rFonts w:ascii="CIDFont+F2" w:eastAsia="Times New Roman" w:hAnsi="CIDFont+F2" w:cs="Times New Roman"/>
          <w:sz w:val="22"/>
          <w:szCs w:val="22"/>
          <w:lang w:eastAsia="it-IT"/>
        </w:rPr>
        <w:t xml:space="preserve"> </w:t>
      </w:r>
      <w:bookmarkStart w:id="0" w:name="_GoBack"/>
      <w:bookmarkEnd w:id="0"/>
    </w:p>
    <w:sectPr w:rsidR="005E10DF" w:rsidRPr="005E10DF" w:rsidSect="00C053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F"/>
    <w:rsid w:val="001C2FC3"/>
    <w:rsid w:val="001F73F5"/>
    <w:rsid w:val="003C2420"/>
    <w:rsid w:val="00523C34"/>
    <w:rsid w:val="005E10DF"/>
    <w:rsid w:val="00AC0574"/>
    <w:rsid w:val="00B33546"/>
    <w:rsid w:val="00C05352"/>
    <w:rsid w:val="00CE1096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47D0B"/>
  <w15:chartTrackingRefBased/>
  <w15:docId w15:val="{E7F56164-5DDC-1548-9669-E88E62C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1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Sibillano - federico.sibillano@studio.unibo.it</dc:creator>
  <cp:keywords/>
  <dc:description/>
  <cp:lastModifiedBy>Federico Sibillano - federico.sibillano@studio.unibo.it</cp:lastModifiedBy>
  <cp:revision>8</cp:revision>
  <dcterms:created xsi:type="dcterms:W3CDTF">2019-10-30T22:07:00Z</dcterms:created>
  <dcterms:modified xsi:type="dcterms:W3CDTF">2019-10-31T17:56:00Z</dcterms:modified>
</cp:coreProperties>
</file>