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B06BC4" w14:textId="77777777" w:rsidR="00850C34" w:rsidRPr="00496465" w:rsidRDefault="00850C34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SINTESI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D425B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Tesi di Laurea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di Silvia Timoneri:</w:t>
      </w:r>
    </w:p>
    <w:p w14:paraId="1B2319C5" w14:textId="77777777" w:rsidR="00850C34" w:rsidRPr="00496465" w:rsidRDefault="00850C34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CA04CB2" w14:textId="77777777" w:rsidR="00850C34" w:rsidRPr="00496465" w:rsidRDefault="00850C34" w:rsidP="007F248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ECONOMIA CIRCOLARE: UN APPROCCIO SISTEMICO PER IL BENE COMUNE. </w:t>
      </w:r>
    </w:p>
    <w:p w14:paraId="1CAB1000" w14:textId="77777777" w:rsidR="00850C34" w:rsidRPr="00496465" w:rsidRDefault="00850C34" w:rsidP="007F2480">
      <w:pPr>
        <w:spacing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Città Circolari – Fra teoria e prassi</w:t>
      </w:r>
    </w:p>
    <w:p w14:paraId="6991807A" w14:textId="77777777" w:rsidR="00850C34" w:rsidRPr="00496465" w:rsidRDefault="00850C34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DFAB62B" w14:textId="77777777" w:rsidR="006148BD" w:rsidRPr="00496465" w:rsidRDefault="001D1F25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Dati e analisi </w:t>
      </w:r>
      <w:proofErr w:type="gramStart"/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mettono a nudo</w:t>
      </w:r>
      <w:proofErr w:type="gramEnd"/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le conseguenze negative che il </w:t>
      </w:r>
      <w:r w:rsidR="008B13CE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apitalismo, prevalente sistema economico-sociale a livello globale, ha prodotto e continua a produrre, dalla metà del </w:t>
      </w:r>
      <w:r w:rsidR="00AC1846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XX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secolo in poi, nel nostro pianeta e all’interno delle nostre comunità, a seguito di una rapidissima accelerazione dell’uso delle risorse naturali a scopi </w:t>
      </w:r>
      <w:r w:rsidR="008638D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commerciali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e di pratiche “bulimiche” di consumo</w:t>
      </w:r>
      <w:r w:rsidR="006148B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662B4E09" w14:textId="77777777" w:rsidR="009C7C4C" w:rsidRPr="00496465" w:rsidRDefault="006148BD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Il lavoro di tesi si prefigge come scopo </w:t>
      </w:r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quello di </w:t>
      </w:r>
      <w:proofErr w:type="gramStart"/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delineare</w:t>
      </w:r>
      <w:proofErr w:type="gramEnd"/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percorso teorico-pratico che possa contribuire al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raggiungimento del Bene Comune</w:t>
      </w:r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, stimolando una riflessione collettiva verso un’</w:t>
      </w:r>
      <w:r w:rsidR="008638DB">
        <w:rPr>
          <w:rFonts w:ascii="Times New Roman" w:eastAsia="Times New Roman" w:hAnsi="Times New Roman" w:cs="Times New Roman"/>
          <w:color w:val="000000"/>
          <w:sz w:val="28"/>
          <w:szCs w:val="28"/>
        </w:rPr>
        <w:t>e</w:t>
      </w:r>
      <w:r w:rsidR="00EB30C5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conomia virtuosa, poco impattan</w:t>
      </w:r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te</w:t>
      </w:r>
      <w:r w:rsidR="008B13CE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sotto il profilo ambientale</w:t>
      </w:r>
      <w:r w:rsidR="00BC7CB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, equa e ad alto valore sociale e territoriale.</w:t>
      </w:r>
    </w:p>
    <w:p w14:paraId="265D94E0" w14:textId="77777777" w:rsidR="009C7C4C" w:rsidRPr="00496465" w:rsidRDefault="005D7FDF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All’interno di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questo percorso la natura </w:t>
      </w:r>
      <w:r w:rsidR="006E310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non 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è considerata </w:t>
      </w:r>
      <w:r w:rsidR="006E310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elemento limitante</w:t>
      </w:r>
      <w:r w:rsidR="00BB2C8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bensì una </w:t>
      </w:r>
      <w:r w:rsidR="00F31DF4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realtà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 im</w:t>
      </w:r>
      <w:r w:rsidR="00FE75A7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itare per giungere a processi d’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innovazione che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conducano</w:t>
      </w:r>
      <w:r w:rsidR="009C7C4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 profitti </w:t>
      </w:r>
      <w:r w:rsidR="00EF44E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 nuova occupazione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nel rispetto dell’ambiente.</w:t>
      </w:r>
    </w:p>
    <w:p w14:paraId="6F251489" w14:textId="77777777" w:rsidR="00BB2C88" w:rsidRPr="00496465" w:rsidRDefault="00DD6859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P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er 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raggiungere l’obiettivo del Bene </w:t>
      </w:r>
      <w:proofErr w:type="gramStart"/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Comune </w:t>
      </w:r>
      <w:r w:rsidR="0098485E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la</w:t>
      </w:r>
      <w:proofErr w:type="gramEnd"/>
      <w:r w:rsidR="0098485E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tesi </w:t>
      </w:r>
      <w:r w:rsidR="009D45C1">
        <w:rPr>
          <w:rFonts w:ascii="Times New Roman" w:eastAsia="Times New Roman" w:hAnsi="Times New Roman" w:cs="Times New Roman"/>
          <w:color w:val="000000"/>
          <w:sz w:val="28"/>
          <w:szCs w:val="28"/>
        </w:rPr>
        <w:t>ri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propone un cambio radicale di paradigma economico, il modello dell’Economia Circolare</w:t>
      </w:r>
      <w:r w:rsidR="00224316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grazie </w:t>
      </w:r>
      <w:r w:rsidR="00224316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al quale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prodotti, processi di produzione e consumo sono ripensa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ti all’interno di una rivoluzio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ne culturale che vede flussi cir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olari tangibili e intangibili mescolarsi</w:t>
      </w:r>
      <w:r w:rsidR="00EF44E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dar vita a nuovi equilibri tra società e politica, tra</w:t>
      </w:r>
      <w:r w:rsidR="006E310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46691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mercato e soggetti sociali.</w:t>
      </w:r>
      <w:r w:rsidR="006E3108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7C91D0B0" w14:textId="77777777" w:rsidR="002059ED" w:rsidRPr="00496465" w:rsidRDefault="005D7FDF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Utilizzando</w:t>
      </w:r>
      <w:r w:rsidR="00224316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approccio sistemico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224316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è scelta la città come centro di propulsione di una </w:t>
      </w:r>
      <w:r w:rsidR="00FF1C60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maggiore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t</w:t>
      </w:r>
      <w:r w:rsidR="00EF44E5">
        <w:rPr>
          <w:rFonts w:ascii="Times New Roman" w:eastAsia="Times New Roman" w:hAnsi="Times New Roman" w:cs="Times New Roman"/>
          <w:color w:val="000000"/>
          <w:sz w:val="28"/>
          <w:szCs w:val="28"/>
        </w:rPr>
        <w:t>ransi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zione, propone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do una gestione concreta delle risorse da parte </w:t>
      </w:r>
      <w:proofErr w:type="gramStart"/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dei</w:t>
      </w:r>
      <w:proofErr w:type="gramEnd"/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gramStart"/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decisori</w:t>
      </w:r>
      <w:proofErr w:type="gramEnd"/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pubblici, fondata su un metodo rigoroso di pianificazio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n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e, programmazione e progettazione, con la collaborazione sinergica dei soggetti privati, nel rispetto del principio costituzionale della sussid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="003E497C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arietà orizzontale. </w:t>
      </w:r>
    </w:p>
    <w:p w14:paraId="00FFF923" w14:textId="77777777" w:rsidR="00EA194B" w:rsidRDefault="00EA194B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Il primo capitolo offre le basi per conoscere l’Economia Circolare, descrivendo i filoni di pensiero che l’hanno generata, i suoi principi fondamentali, i modi per poterla misurare, i punti di forza, di debolezza e le prospettive future.</w:t>
      </w:r>
    </w:p>
    <w:p w14:paraId="7705574E" w14:textId="77777777" w:rsidR="00AD7081" w:rsidRPr="00496465" w:rsidRDefault="00AD7081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22F32FE5" w14:textId="77777777" w:rsidR="00EA194B" w:rsidRDefault="00EA194B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Il secondo capitolo descrive esempi virtuosi di applicazione del modello economico circolare</w:t>
      </w:r>
      <w:r w:rsidR="00701DC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F90268">
        <w:rPr>
          <w:rFonts w:ascii="Times New Roman" w:eastAsia="Times New Roman" w:hAnsi="Times New Roman" w:cs="Times New Roman"/>
          <w:color w:val="000000"/>
          <w:sz w:val="28"/>
          <w:szCs w:val="28"/>
        </w:rPr>
        <w:t>mettendo a confronto casi studio localizzati in aree geo</w:t>
      </w:r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grafiche di ampiezza crescente: a livello micro sono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descritte le esperienze del</w:t>
      </w:r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centro commerciale Re Tuna di Eskilstuna, 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</w:rPr>
        <w:t>del</w:t>
      </w:r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Ford Rouge Centre di </w:t>
      </w:r>
      <w:proofErr w:type="spellStart"/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Dearbon</w:t>
      </w:r>
      <w:proofErr w:type="spellEnd"/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</w:rPr>
        <w:t>del</w:t>
      </w:r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municipio di Venlo; a livello </w:t>
      </w:r>
      <w:proofErr w:type="spellStart"/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>meso</w:t>
      </w:r>
      <w:proofErr w:type="spellEnd"/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è descritta l’area metropolitana di Amsterdam; a livello macro</w:t>
      </w:r>
      <w:r w:rsidR="006726C7">
        <w:rPr>
          <w:rFonts w:ascii="Times New Roman" w:eastAsia="Times New Roman" w:hAnsi="Times New Roman" w:cs="Times New Roman"/>
          <w:color w:val="000000"/>
          <w:sz w:val="28"/>
          <w:szCs w:val="28"/>
        </w:rPr>
        <w:t>, infine,</w:t>
      </w:r>
      <w:r w:rsidR="00131DB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la Francia.</w:t>
      </w:r>
    </w:p>
    <w:p w14:paraId="66811A10" w14:textId="77777777" w:rsidR="00AD7081" w:rsidRPr="00496465" w:rsidRDefault="00AD7081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01D1C8A9" w14:textId="77777777" w:rsidR="00B84E03" w:rsidRDefault="00EA194B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Il terzo e ultimo capitolo prospetta ipotesi di rigenerazione delle città con l’Economia Circolare, fornendo</w:t>
      </w:r>
      <w:r w:rsidR="003174B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linee guida per Città Circolari, con un particolare approfo</w:t>
      </w:r>
      <w:r w:rsidR="00F4639A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ndimento</w:t>
      </w:r>
      <w:r w:rsidR="006D4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progettuale</w:t>
      </w:r>
      <w:r w:rsid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sulla città di Palermo.</w:t>
      </w:r>
    </w:p>
    <w:p w14:paraId="680B9DA2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Per garantire uno sviluppo sostenibile nelle città,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propone una </w:t>
      </w:r>
      <w:proofErr w:type="spellStart"/>
      <w:r w:rsidRPr="003377B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Roadmap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con la quale 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le autorità pubbliche p</w:t>
      </w:r>
      <w:r w:rsidR="00066C50">
        <w:rPr>
          <w:rFonts w:ascii="Times New Roman" w:eastAsia="Times New Roman" w:hAnsi="Times New Roman" w:cs="Times New Roman"/>
          <w:color w:val="000000"/>
          <w:sz w:val="28"/>
          <w:szCs w:val="28"/>
        </w:rPr>
        <w:t>ossa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no programmare strategie di Economia Circolare</w:t>
      </w:r>
      <w:r w:rsidR="005838C6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14:paraId="20AB506F" w14:textId="4FF70123" w:rsidR="00B84E03" w:rsidRPr="00B84E03" w:rsidRDefault="00AD7081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Le </w:t>
      </w:r>
      <w:r w:rsidR="00B84E03"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tappe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delineate all’interno della </w:t>
      </w:r>
      <w:proofErr w:type="spellStart"/>
      <w:r w:rsidRPr="00AD708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Roadmap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84E03"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possono essere così schematizzate (</w:t>
      </w:r>
      <w:proofErr w:type="spellStart"/>
      <w:r w:rsidR="00B84E03"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Circular</w:t>
      </w:r>
      <w:proofErr w:type="spellEnd"/>
      <w:r w:rsidR="00B84E03"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Europe Network, 2016):</w:t>
      </w:r>
    </w:p>
    <w:p w14:paraId="6739711D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1)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Analisi del </w:t>
      </w:r>
      <w:proofErr w:type="gramStart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contesto</w:t>
      </w:r>
      <w:proofErr w:type="gram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iniziale: analisi del territorio, analisi degli </w:t>
      </w:r>
      <w:proofErr w:type="spellStart"/>
      <w:r w:rsidRPr="007F2C1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stakeholders</w:t>
      </w:r>
      <w:proofErr w:type="spell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, analisi dei problemi.</w:t>
      </w:r>
    </w:p>
    <w:p w14:paraId="21B5479E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Elaborazione di un quadro di pianificazione strategica: analisi degli obiettivi, definizione dell’area d’intervento, analisi delle strategie, con identificazione, valutazione e scelta di diverse </w:t>
      </w:r>
      <w:proofErr w:type="gramStart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opzioni</w:t>
      </w:r>
      <w:proofErr w:type="gram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affrontare una determinata situazione sulla base anche delle probabilità di successo e del budget.</w:t>
      </w:r>
    </w:p>
    <w:p w14:paraId="42894952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3)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Preparazione del Piano di Azione: per settore, flusso e prodotto, suddividendo le azioni in breve, medio, lungo termine e valutando i rischi</w:t>
      </w:r>
      <w:proofErr w:type="gram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le opportunità.</w:t>
      </w:r>
    </w:p>
    <w:p w14:paraId="27CEAF39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4)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gramStart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Implementazione del Piano di Azione: definizione di un </w:t>
      </w:r>
      <w:proofErr w:type="spellStart"/>
      <w:r w:rsidRPr="00033EA1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timeframe</w:t>
      </w:r>
      <w:proofErr w:type="spell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accompagnamento degli attori; miglioramento del piano in base ai risultat</w:t>
      </w:r>
      <w:proofErr w:type="gramEnd"/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i osservati.</w:t>
      </w:r>
    </w:p>
    <w:p w14:paraId="3F24EEC8" w14:textId="77777777" w:rsidR="00B84E03" w:rsidRPr="00B84E03" w:rsidRDefault="00B84E03" w:rsidP="00B84E03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>5)</w:t>
      </w:r>
      <w:r w:rsidRPr="00B84E0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Monitoraggio e valutazione della strategia.</w:t>
      </w:r>
    </w:p>
    <w:p w14:paraId="06E936AB" w14:textId="6A15383E" w:rsidR="00D12CE0" w:rsidRDefault="00C57A5C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Considerato che</w:t>
      </w:r>
      <w:proofErr w:type="gramEnd"/>
      <w:r w:rsidR="00D062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una strategia di </w:t>
      </w:r>
      <w:r w:rsidR="00C5539B" w:rsidRPr="00C55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Economia Circolare trae vantaggio da una pianificazione che abbia un orizzonte temporale tra i 5 e i 7 anni </w:t>
      </w:r>
      <w:r w:rsidR="00C5539B" w:rsidRPr="00966DA4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966DA4" w:rsidRPr="0096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come da </w:t>
      </w:r>
      <w:proofErr w:type="spellStart"/>
      <w:r w:rsidR="00C5539B" w:rsidRPr="00966DA4">
        <w:rPr>
          <w:rFonts w:ascii="Times New Roman" w:eastAsia="Times New Roman" w:hAnsi="Times New Roman" w:cs="Times New Roman"/>
          <w:color w:val="000000"/>
          <w:sz w:val="28"/>
          <w:szCs w:val="28"/>
        </w:rPr>
        <w:t>C</w:t>
      </w:r>
      <w:r w:rsidR="00510CCC" w:rsidRPr="00966DA4">
        <w:rPr>
          <w:rFonts w:ascii="Times New Roman" w:eastAsia="Times New Roman" w:hAnsi="Times New Roman" w:cs="Times New Roman"/>
          <w:color w:val="000000"/>
          <w:sz w:val="28"/>
          <w:szCs w:val="28"/>
        </w:rPr>
        <w:t>ircular</w:t>
      </w:r>
      <w:proofErr w:type="spellEnd"/>
      <w:r w:rsidR="00510CCC" w:rsidRPr="00966DA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Europe Network, cit.)</w:t>
      </w:r>
      <w:r w:rsidR="00510CCC">
        <w:rPr>
          <w:rFonts w:ascii="Times New Roman" w:eastAsia="Times New Roman" w:hAnsi="Times New Roman" w:cs="Times New Roman"/>
          <w:color w:val="000000"/>
          <w:sz w:val="28"/>
          <w:szCs w:val="28"/>
        </w:rPr>
        <w:t>, s</w:t>
      </w:r>
      <w:r w:rsidR="00C5539B" w:rsidRPr="00C55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 è valutata la possibilità di inserire la </w:t>
      </w:r>
      <w:proofErr w:type="spellStart"/>
      <w:r w:rsidR="00C5539B" w:rsidRPr="00510CCC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Roadmap</w:t>
      </w:r>
      <w:proofErr w:type="spellEnd"/>
      <w:r w:rsidR="00C5539B" w:rsidRPr="00C5539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sopra descritta all’interno del Documento Unico di Programmazione, lo strumento principale di programmazione strategica degli Enti Locali (Dl. 118 del 23/06/11) .</w:t>
      </w:r>
    </w:p>
    <w:p w14:paraId="3BE2E097" w14:textId="44D19098" w:rsidR="00D12CE0" w:rsidRDefault="00B462AA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4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sono analizzati alcuni DUP redatti dalle città più sostenibili in Italia e si è </w:t>
      </w:r>
      <w:r w:rsidR="005B129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scelto </w:t>
      </w:r>
      <w:r w:rsidRPr="00B4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proporre lo schema del DUP </w:t>
      </w:r>
      <w:proofErr w:type="gramStart"/>
      <w:r w:rsidRPr="00B462AA">
        <w:rPr>
          <w:rFonts w:ascii="Times New Roman" w:eastAsia="Times New Roman" w:hAnsi="Times New Roman" w:cs="Times New Roman"/>
          <w:color w:val="000000"/>
          <w:sz w:val="28"/>
          <w:szCs w:val="28"/>
        </w:rPr>
        <w:t>di</w:t>
      </w:r>
      <w:proofErr w:type="gramEnd"/>
      <w:r w:rsidRPr="00B462A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Prato (2018, 2019) integrato con alcuni elementi del DUP di Mantova 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2019).</w:t>
      </w:r>
    </w:p>
    <w:p w14:paraId="09CEC99D" w14:textId="77777777" w:rsidR="006652ED" w:rsidRPr="002B01C6" w:rsidRDefault="006652ED" w:rsidP="006652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>Nel contesto di</w:t>
      </w:r>
      <w:proofErr w:type="gramEnd"/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una </w:t>
      </w:r>
      <w:r w:rsidRPr="006652ED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policy</w:t>
      </w: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urbana coerente ed integrata secondo le linee guida Europee che hanno come obiettivo generale quello di rendere la città più sostenibile, </w:t>
      </w:r>
      <w:r w:rsidR="002B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è valutato di </w:t>
      </w: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definire tra gli Ambiti Strategici quello della </w:t>
      </w:r>
      <w:proofErr w:type="spellStart"/>
      <w:r w:rsidRPr="00A632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Circular</w:t>
      </w:r>
      <w:proofErr w:type="spellEnd"/>
      <w:r w:rsidRPr="00A6322B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 City</w:t>
      </w:r>
      <w:r w:rsidR="002B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CB6BC1">
        <w:rPr>
          <w:rFonts w:ascii="Times New Roman" w:eastAsia="Times New Roman" w:hAnsi="Times New Roman" w:cs="Times New Roman"/>
          <w:color w:val="000000"/>
          <w:sz w:val="28"/>
          <w:szCs w:val="28"/>
        </w:rPr>
        <w:t>affinché</w:t>
      </w:r>
      <w:r w:rsidR="002B01C6" w:rsidRPr="002B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Comune </w:t>
      </w:r>
      <w:r w:rsidR="008508C1">
        <w:rPr>
          <w:rFonts w:ascii="Times New Roman" w:eastAsia="Times New Roman" w:hAnsi="Times New Roman" w:cs="Times New Roman"/>
          <w:color w:val="000000"/>
          <w:sz w:val="28"/>
          <w:szCs w:val="28"/>
        </w:rPr>
        <w:t>operi</w:t>
      </w:r>
      <w:r w:rsidR="002B01C6" w:rsidRPr="002B01C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secondo un </w:t>
      </w:r>
      <w:r w:rsidR="008508C1">
        <w:rPr>
          <w:rFonts w:ascii="Times New Roman" w:eastAsia="Times New Roman" w:hAnsi="Times New Roman" w:cs="Times New Roman"/>
          <w:color w:val="000000"/>
          <w:sz w:val="28"/>
          <w:szCs w:val="28"/>
        </w:rPr>
        <w:t>approccio di Economia Circolare.</w:t>
      </w:r>
    </w:p>
    <w:p w14:paraId="5D194DD2" w14:textId="77777777" w:rsidR="006652ED" w:rsidRPr="006652ED" w:rsidRDefault="006652ED" w:rsidP="006652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Si è pensato di elaborare schede tecniche </w:t>
      </w:r>
      <w:proofErr w:type="gramStart"/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>tematiche</w:t>
      </w:r>
      <w:proofErr w:type="gramEnd"/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che possono essere inserite all’interno del DUP, utili a supporto dei decisori pubblici nella progettazione in 4 settori selezionati: Rifiuti, Acqua, Mobilità ed Energia.</w:t>
      </w:r>
    </w:p>
    <w:p w14:paraId="2ECB5D90" w14:textId="7C39E6F7" w:rsidR="006652ED" w:rsidRDefault="006652ED" w:rsidP="006652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Ciascuna </w:t>
      </w:r>
      <w:r w:rsidR="00CB6BC1">
        <w:rPr>
          <w:rFonts w:ascii="Times New Roman" w:eastAsia="Times New Roman" w:hAnsi="Times New Roman" w:cs="Times New Roman"/>
          <w:color w:val="000000"/>
          <w:sz w:val="28"/>
          <w:szCs w:val="28"/>
        </w:rPr>
        <w:t>scheda corrisponde a uno o più P</w:t>
      </w: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rogrammi del DUP, collegati a una specifica Missione. Si sono </w:t>
      </w:r>
      <w:r w:rsidR="00CB6BC1">
        <w:rPr>
          <w:rFonts w:ascii="Times New Roman" w:eastAsia="Times New Roman" w:hAnsi="Times New Roman" w:cs="Times New Roman"/>
          <w:color w:val="000000"/>
          <w:sz w:val="28"/>
          <w:szCs w:val="28"/>
        </w:rPr>
        <w:t>selezionate tre Missioni e sei P</w:t>
      </w: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>rogrammi tra quelli descritti dal Glossario Missioni e Programmi della</w:t>
      </w:r>
      <w:r w:rsidR="0089788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6652ED">
        <w:rPr>
          <w:rFonts w:ascii="Times New Roman" w:eastAsia="Times New Roman" w:hAnsi="Times New Roman" w:cs="Times New Roman"/>
          <w:color w:val="000000"/>
          <w:sz w:val="28"/>
          <w:szCs w:val="28"/>
        </w:rPr>
        <w:t>ANCI-IFEL Community, strumento che può fare da ponte tra il DUP e l’uso degli indicatori BES :</w:t>
      </w:r>
    </w:p>
    <w:p w14:paraId="4AD122D8" w14:textId="77777777" w:rsidR="00AD7081" w:rsidRPr="006652ED" w:rsidRDefault="00AD7081" w:rsidP="006652ED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432A7E3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Missione </w:t>
      </w:r>
      <w:proofErr w:type="gramStart"/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9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1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Sviluppo sostenibile e tutela del territorio e dell’ambiente</w:t>
      </w:r>
    </w:p>
    <w:p w14:paraId="365F8D20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Programma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: Rifiuti</w:t>
      </w:r>
    </w:p>
    <w:p w14:paraId="0AB5E06A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Programma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4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e 6 : Servizio idrico integrato e tutela e valorizzazione delle riserve idriche</w:t>
      </w:r>
    </w:p>
    <w:p w14:paraId="7E6F0989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Programma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8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: Qualità dell’aria e riduzione dell’inquinamento</w:t>
      </w:r>
    </w:p>
    <w:p w14:paraId="04CDD478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5CB145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Missione </w:t>
      </w:r>
      <w:proofErr w:type="gramStart"/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1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Trasporti e diritto alla mobilità</w:t>
      </w:r>
    </w:p>
    <w:p w14:paraId="6A098E50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Programma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: Trasporto Pubblico Locale</w:t>
      </w:r>
    </w:p>
    <w:p w14:paraId="0BA582A2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7914615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 xml:space="preserve">Missione </w:t>
      </w:r>
      <w:proofErr w:type="gramStart"/>
      <w:r w:rsidRPr="006A4F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17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: </w:t>
      </w:r>
      <w:r w:rsidRPr="00E15FA2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Energia e diversificazione delle fonti energetiche</w:t>
      </w:r>
    </w:p>
    <w:p w14:paraId="4B3A8D89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•</w:t>
      </w: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 xml:space="preserve">Programma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: Fonti energetiche</w:t>
      </w:r>
    </w:p>
    <w:p w14:paraId="2054AEEB" w14:textId="77777777" w:rsidR="007B3EE7" w:rsidRPr="007B3EE7" w:rsidRDefault="007B3EE7" w:rsidP="007B3EE7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6BC7214B" w14:textId="77777777" w:rsidR="00DE2645" w:rsidRDefault="007B3EE7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 ciascuna Missione e a ciascun Programma corrispondono gli obiettivi strategici e gli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obiettivi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operativi del DUP, coincidenti rispettivamente con gli Obiettivi Generali e con gli Obiettivi Specifici delle schede tecniche proposte. L’obiettivo strategico del DUP di migliorare la qualità </w:t>
      </w:r>
      <w:proofErr w:type="gramStart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dell’</w:t>
      </w:r>
      <w:proofErr w:type="gramEnd"/>
      <w:r w:rsidRPr="007B3EE7">
        <w:rPr>
          <w:rFonts w:ascii="Times New Roman" w:eastAsia="Times New Roman" w:hAnsi="Times New Roman" w:cs="Times New Roman"/>
          <w:color w:val="000000"/>
          <w:sz w:val="28"/>
          <w:szCs w:val="28"/>
        </w:rPr>
        <w:t>aria è trasversale: è, infatti, realizzabile grazie al raggiungimento degli obiettivi specifici del pacchetto energia e di quello della mobilità.</w:t>
      </w:r>
      <w:r w:rsidR="00DF18D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14:paraId="45506576" w14:textId="24F80E4F" w:rsidR="0027721E" w:rsidRDefault="00570FE1" w:rsidP="007F2480">
      <w:pPr>
        <w:spacing w:line="360" w:lineRule="auto"/>
        <w:jc w:val="both"/>
        <w:rPr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Nelle schede s</w:t>
      </w:r>
      <w:r w:rsidR="00C440FC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ono </w:t>
      </w:r>
      <w:r w:rsidR="00C440FC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inoltre indicate: la posizione dell’Italia rispetto ai livelli </w:t>
      </w:r>
      <w:r w:rsidR="002445DA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>fissati</w:t>
      </w:r>
      <w:r w:rsidR="00C440FC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dall’Unione Europea per ciascun ambito e la posizione </w:t>
      </w:r>
      <w:r w:rsidR="00E95EEC">
        <w:rPr>
          <w:rFonts w:ascii="Times New Roman" w:eastAsia="Times New Roman" w:hAnsi="Times New Roman" w:cs="Times New Roman"/>
          <w:color w:val="000000"/>
          <w:sz w:val="28"/>
          <w:szCs w:val="28"/>
        </w:rPr>
        <w:t>della città titolare del DUP</w:t>
      </w:r>
      <w:r w:rsidR="000761E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60C2A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C60C2A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 fine di valutare possibili percorsi di rigenerazione grazie all’implementazione del paradigma </w:t>
      </w:r>
      <w:proofErr w:type="gramStart"/>
      <w:r w:rsidR="00C60C2A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>dell’</w:t>
      </w:r>
      <w:proofErr w:type="gramEnd"/>
      <w:r w:rsidR="00C60C2A"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>Economia Circolare nella programmazione pubblica</w:t>
      </w:r>
      <w:r w:rsidR="00C60C2A" w:rsidRPr="00496465">
        <w:rPr>
          <w:sz w:val="28"/>
          <w:szCs w:val="28"/>
        </w:rPr>
        <w:t>.</w:t>
      </w:r>
      <w:r w:rsidR="00D12CE0">
        <w:rPr>
          <w:sz w:val="28"/>
          <w:szCs w:val="28"/>
        </w:rPr>
        <w:t xml:space="preserve"> </w:t>
      </w:r>
      <w:bookmarkStart w:id="0" w:name="_GoBack"/>
      <w:bookmarkEnd w:id="0"/>
    </w:p>
    <w:p w14:paraId="515535BA" w14:textId="336A5D53" w:rsidR="00B34418" w:rsidRPr="00DF18DF" w:rsidRDefault="000761E7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Nel lavoro di tesi </w:t>
      </w:r>
      <w:r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>si è deciso di realizzare un’analisi dettagliata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della città di Palermo</w:t>
      </w:r>
      <w:r w:rsidRPr="00D84E47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B878D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affiancando ai dati provenienti da fonti ufficiali i risultati d’interviste rivolti a professionisti specializzati nei settori oggetto di studio, avvalendosi dell’ausilio di questionari semi</w:t>
      </w:r>
      <w:r w:rsidR="009101B0"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 w:rsidR="00B878D8">
        <w:rPr>
          <w:rFonts w:ascii="Times New Roman" w:eastAsia="Times New Roman" w:hAnsi="Times New Roman" w:cs="Times New Roman"/>
          <w:color w:val="000000"/>
          <w:sz w:val="28"/>
          <w:szCs w:val="28"/>
        </w:rPr>
        <w:t>strutturati.</w:t>
      </w:r>
    </w:p>
    <w:p w14:paraId="4CFB0799" w14:textId="77777777" w:rsidR="00EA194B" w:rsidRPr="00496465" w:rsidRDefault="00EA194B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14:paraId="555F490E" w14:textId="77777777" w:rsidR="005D7FDF" w:rsidRPr="00496465" w:rsidRDefault="00EA194B" w:rsidP="007F2480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Concludono</w:t>
      </w:r>
      <w:proofErr w:type="gramEnd"/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il lavoro </w:t>
      </w:r>
      <w:r w:rsidR="00DE264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di tesi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due</w:t>
      </w:r>
      <w:r w:rsidR="00861CC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articolate proposte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progettuali per la città di Palermo, 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un</w:t>
      </w:r>
      <w:r w:rsidR="008C23D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relativ</w:t>
      </w:r>
      <w:r w:rsidR="008C23D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alla riqualificazione </w:t>
      </w:r>
      <w:r w:rsidR="00527E69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d’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importanti spazi urbani sottoutilizzati</w:t>
      </w:r>
      <w:r w:rsidR="005316F9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per attività di riuso e riciclo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l’altr</w:t>
      </w:r>
      <w:r w:rsidR="008C23D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relativ</w:t>
      </w:r>
      <w:r w:rsidR="008C23DD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8C23DD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>a</w:t>
      </w:r>
      <w:r w:rsidR="00527E69"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r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un intervento formativo </w:t>
      </w:r>
      <w:r w:rsidR="00CC5FAA" w:rsidRPr="004964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sull’Economia Circolare </w:t>
      </w:r>
      <w:r w:rsidR="008C23DD">
        <w:rPr>
          <w:rFonts w:ascii="Times New Roman" w:eastAsia="Times New Roman" w:hAnsi="Times New Roman" w:cs="Times New Roman"/>
          <w:color w:val="000000"/>
          <w:sz w:val="28"/>
          <w:szCs w:val="28"/>
        </w:rPr>
        <w:t>nell’ambito delle scuole.</w:t>
      </w:r>
    </w:p>
    <w:sectPr w:rsidR="005D7FDF" w:rsidRPr="00496465" w:rsidSect="00DF69DC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34B79"/>
    <w:multiLevelType w:val="hybridMultilevel"/>
    <w:tmpl w:val="90C0A4FA"/>
    <w:lvl w:ilvl="0" w:tplc="AC62BAB6">
      <w:numFmt w:val="bullet"/>
      <w:lvlText w:val="-"/>
      <w:lvlJc w:val="left"/>
      <w:pPr>
        <w:ind w:left="390" w:hanging="360"/>
      </w:pPr>
      <w:rPr>
        <w:rFonts w:ascii="Cambria" w:eastAsiaTheme="minorEastAsia" w:hAnsi="Cambr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11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3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5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7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9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1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3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50" w:hanging="360"/>
      </w:pPr>
      <w:rPr>
        <w:rFonts w:ascii="Wingdings" w:hAnsi="Wingdings" w:hint="default"/>
      </w:rPr>
    </w:lvl>
  </w:abstractNum>
  <w:abstractNum w:abstractNumId="1">
    <w:nsid w:val="6A4E7265"/>
    <w:multiLevelType w:val="hybridMultilevel"/>
    <w:tmpl w:val="33362CAE"/>
    <w:lvl w:ilvl="0" w:tplc="5602168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32B"/>
    <w:rsid w:val="000319F7"/>
    <w:rsid w:val="00033EA1"/>
    <w:rsid w:val="000420F2"/>
    <w:rsid w:val="00066C50"/>
    <w:rsid w:val="000761E7"/>
    <w:rsid w:val="00076C72"/>
    <w:rsid w:val="000C3AD4"/>
    <w:rsid w:val="000D0493"/>
    <w:rsid w:val="00131DBA"/>
    <w:rsid w:val="001379E3"/>
    <w:rsid w:val="001456AE"/>
    <w:rsid w:val="00196B55"/>
    <w:rsid w:val="001D1F25"/>
    <w:rsid w:val="002059ED"/>
    <w:rsid w:val="0022229D"/>
    <w:rsid w:val="00224316"/>
    <w:rsid w:val="00234411"/>
    <w:rsid w:val="00237168"/>
    <w:rsid w:val="00237647"/>
    <w:rsid w:val="002445DA"/>
    <w:rsid w:val="00246AEB"/>
    <w:rsid w:val="00251391"/>
    <w:rsid w:val="00255123"/>
    <w:rsid w:val="0027721E"/>
    <w:rsid w:val="0028248C"/>
    <w:rsid w:val="0029064C"/>
    <w:rsid w:val="002B01C6"/>
    <w:rsid w:val="0031649A"/>
    <w:rsid w:val="003174B3"/>
    <w:rsid w:val="003377B3"/>
    <w:rsid w:val="00340D45"/>
    <w:rsid w:val="003A6DAB"/>
    <w:rsid w:val="003D425B"/>
    <w:rsid w:val="003E1C35"/>
    <w:rsid w:val="003E497C"/>
    <w:rsid w:val="0044686B"/>
    <w:rsid w:val="004710F4"/>
    <w:rsid w:val="00496465"/>
    <w:rsid w:val="004D5DEE"/>
    <w:rsid w:val="004D78FE"/>
    <w:rsid w:val="00507709"/>
    <w:rsid w:val="00510CCC"/>
    <w:rsid w:val="0051203A"/>
    <w:rsid w:val="005209ED"/>
    <w:rsid w:val="00522C56"/>
    <w:rsid w:val="005268B0"/>
    <w:rsid w:val="00527E69"/>
    <w:rsid w:val="005316F9"/>
    <w:rsid w:val="005427B9"/>
    <w:rsid w:val="00554A55"/>
    <w:rsid w:val="00570FE1"/>
    <w:rsid w:val="005838C6"/>
    <w:rsid w:val="00591877"/>
    <w:rsid w:val="0059698F"/>
    <w:rsid w:val="005B1297"/>
    <w:rsid w:val="005D7D39"/>
    <w:rsid w:val="005D7FDF"/>
    <w:rsid w:val="005F33CD"/>
    <w:rsid w:val="006148BD"/>
    <w:rsid w:val="00642502"/>
    <w:rsid w:val="0065614E"/>
    <w:rsid w:val="006652ED"/>
    <w:rsid w:val="006726C7"/>
    <w:rsid w:val="006754A5"/>
    <w:rsid w:val="00682517"/>
    <w:rsid w:val="0068584E"/>
    <w:rsid w:val="0068745A"/>
    <w:rsid w:val="006973DB"/>
    <w:rsid w:val="006A4F57"/>
    <w:rsid w:val="006D33BB"/>
    <w:rsid w:val="006D48DF"/>
    <w:rsid w:val="006E3108"/>
    <w:rsid w:val="00701DC3"/>
    <w:rsid w:val="00716D44"/>
    <w:rsid w:val="00717273"/>
    <w:rsid w:val="00791506"/>
    <w:rsid w:val="007B3EE7"/>
    <w:rsid w:val="007F2480"/>
    <w:rsid w:val="007F2C1C"/>
    <w:rsid w:val="008508C1"/>
    <w:rsid w:val="00850C34"/>
    <w:rsid w:val="00861CC5"/>
    <w:rsid w:val="008638DB"/>
    <w:rsid w:val="00884E19"/>
    <w:rsid w:val="0089788F"/>
    <w:rsid w:val="008A0DB1"/>
    <w:rsid w:val="008A7D5E"/>
    <w:rsid w:val="008B13CE"/>
    <w:rsid w:val="008C23DD"/>
    <w:rsid w:val="00904982"/>
    <w:rsid w:val="009101B0"/>
    <w:rsid w:val="00930DE1"/>
    <w:rsid w:val="00940B0B"/>
    <w:rsid w:val="00953D65"/>
    <w:rsid w:val="00966DA4"/>
    <w:rsid w:val="0098485E"/>
    <w:rsid w:val="009B1EC2"/>
    <w:rsid w:val="009C7C4C"/>
    <w:rsid w:val="009D45C1"/>
    <w:rsid w:val="009D7345"/>
    <w:rsid w:val="009F7F08"/>
    <w:rsid w:val="00A04A9F"/>
    <w:rsid w:val="00A559AA"/>
    <w:rsid w:val="00A6322B"/>
    <w:rsid w:val="00A675CC"/>
    <w:rsid w:val="00AB4302"/>
    <w:rsid w:val="00AC1403"/>
    <w:rsid w:val="00AC1846"/>
    <w:rsid w:val="00AD5D6C"/>
    <w:rsid w:val="00AD7081"/>
    <w:rsid w:val="00AE4529"/>
    <w:rsid w:val="00B01818"/>
    <w:rsid w:val="00B314D9"/>
    <w:rsid w:val="00B34418"/>
    <w:rsid w:val="00B36BBF"/>
    <w:rsid w:val="00B462AA"/>
    <w:rsid w:val="00B84E03"/>
    <w:rsid w:val="00B878D8"/>
    <w:rsid w:val="00BB2C88"/>
    <w:rsid w:val="00BC7CB8"/>
    <w:rsid w:val="00C03A25"/>
    <w:rsid w:val="00C22C35"/>
    <w:rsid w:val="00C440FC"/>
    <w:rsid w:val="00C46691"/>
    <w:rsid w:val="00C5539B"/>
    <w:rsid w:val="00C57A5C"/>
    <w:rsid w:val="00C57CE4"/>
    <w:rsid w:val="00C60C2A"/>
    <w:rsid w:val="00C82562"/>
    <w:rsid w:val="00CB6BC1"/>
    <w:rsid w:val="00CC5051"/>
    <w:rsid w:val="00CC5FAA"/>
    <w:rsid w:val="00D062A9"/>
    <w:rsid w:val="00D07FB2"/>
    <w:rsid w:val="00D1086F"/>
    <w:rsid w:val="00D12CE0"/>
    <w:rsid w:val="00D42AA8"/>
    <w:rsid w:val="00D53778"/>
    <w:rsid w:val="00D71762"/>
    <w:rsid w:val="00D77C89"/>
    <w:rsid w:val="00D84354"/>
    <w:rsid w:val="00D84E47"/>
    <w:rsid w:val="00DA23FE"/>
    <w:rsid w:val="00DB405E"/>
    <w:rsid w:val="00DD6859"/>
    <w:rsid w:val="00DE2645"/>
    <w:rsid w:val="00DF18DF"/>
    <w:rsid w:val="00DF529A"/>
    <w:rsid w:val="00DF69DC"/>
    <w:rsid w:val="00E15FA2"/>
    <w:rsid w:val="00E904DF"/>
    <w:rsid w:val="00E95EEC"/>
    <w:rsid w:val="00EA194B"/>
    <w:rsid w:val="00EB30C5"/>
    <w:rsid w:val="00EB6717"/>
    <w:rsid w:val="00EE570C"/>
    <w:rsid w:val="00EE6A27"/>
    <w:rsid w:val="00EF44E5"/>
    <w:rsid w:val="00EF632B"/>
    <w:rsid w:val="00EF6E9C"/>
    <w:rsid w:val="00F03C9E"/>
    <w:rsid w:val="00F226B4"/>
    <w:rsid w:val="00F31DF4"/>
    <w:rsid w:val="00F4639A"/>
    <w:rsid w:val="00F90268"/>
    <w:rsid w:val="00FC4D89"/>
    <w:rsid w:val="00FE75A7"/>
    <w:rsid w:val="00FE7F28"/>
    <w:rsid w:val="00FF1C60"/>
    <w:rsid w:val="00FF2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E9EC78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BB2C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C8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2C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C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C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2C88"/>
    <w:rPr>
      <w:rFonts w:ascii="Tahoma" w:hAnsi="Tahoma" w:cs="Tahoma"/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1456AE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atterepredefinitoparagrafo"/>
    <w:uiPriority w:val="99"/>
    <w:semiHidden/>
    <w:unhideWhenUsed/>
    <w:rsid w:val="00BB2C8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B2C88"/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B2C8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B2C8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B2C88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B2C8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B2C88"/>
    <w:rPr>
      <w:rFonts w:ascii="Tahoma" w:hAnsi="Tahoma" w:cs="Tahoma"/>
      <w:sz w:val="16"/>
      <w:szCs w:val="16"/>
    </w:rPr>
  </w:style>
  <w:style w:type="character" w:styleId="Enfasicorsivo">
    <w:name w:val="Emphasis"/>
    <w:basedOn w:val="Caratterepredefinitoparagrafo"/>
    <w:uiPriority w:val="20"/>
    <w:qFormat/>
    <w:rsid w:val="001456A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E13-4F33-674B-B8E8-C4E934847A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1051</Words>
  <Characters>5991</Characters>
  <Application>Microsoft Macintosh Word</Application>
  <DocSecurity>0</DocSecurity>
  <Lines>49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FWCQQ-3XX2G-3CD89-4VRJK-CR4YD</Company>
  <LinksUpToDate>false</LinksUpToDate>
  <CharactersWithSpaces>7028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Luigi Miraglia</dc:creator>
  <cp:keywords/>
  <dc:description/>
  <cp:lastModifiedBy>Luigi Miraglia</cp:lastModifiedBy>
  <cp:revision>6</cp:revision>
  <cp:lastPrinted>2019-09-12T09:49:00Z</cp:lastPrinted>
  <dcterms:created xsi:type="dcterms:W3CDTF">2019-10-03T07:14:00Z</dcterms:created>
  <dcterms:modified xsi:type="dcterms:W3CDTF">2019-10-03T07:18:00Z</dcterms:modified>
</cp:coreProperties>
</file>